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10AB7" w:rsidRDefault="00466D21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</w:t>
      </w:r>
      <w:r>
        <w:rPr>
          <w:rFonts w:ascii="Arial" w:hAnsi="Arial" w:cs="Arial" w:hint="eastAsia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 xml:space="preserve">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>R1-</w:t>
      </w:r>
      <w:r>
        <w:rPr>
          <w:rFonts w:ascii="Arial" w:hAnsi="Arial" w:cs="Arial" w:hint="eastAsia"/>
          <w:b/>
          <w:bCs/>
          <w:sz w:val="22"/>
          <w:szCs w:val="22"/>
        </w:rPr>
        <w:t>2107826</w:t>
      </w:r>
    </w:p>
    <w:p w:rsidR="00010AB7" w:rsidRDefault="00466D21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e-Meeting, </w:t>
      </w:r>
      <w:r>
        <w:rPr>
          <w:rFonts w:ascii="Arial" w:hAnsi="Arial" w:cs="Arial" w:hint="eastAsia"/>
          <w:b/>
          <w:bCs/>
          <w:sz w:val="22"/>
          <w:szCs w:val="22"/>
        </w:rPr>
        <w:t>August</w:t>
      </w:r>
      <w:r>
        <w:rPr>
          <w:rFonts w:ascii="Arial" w:hAnsi="Arial" w:cs="Arial"/>
          <w:b/>
          <w:bCs/>
          <w:sz w:val="22"/>
          <w:szCs w:val="22"/>
        </w:rPr>
        <w:t xml:space="preserve"> 1</w:t>
      </w:r>
      <w:r>
        <w:rPr>
          <w:rFonts w:ascii="Arial" w:hAnsi="Arial" w:cs="Arial" w:hint="eastAsia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hAnsi="Arial" w:cs="Arial"/>
          <w:b/>
          <w:bCs/>
          <w:sz w:val="22"/>
          <w:szCs w:val="22"/>
        </w:rPr>
        <w:t>27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2021</w:t>
      </w:r>
    </w:p>
    <w:p w:rsidR="00010AB7" w:rsidRDefault="00466D21">
      <w:pPr>
        <w:tabs>
          <w:tab w:val="left" w:pos="1985"/>
        </w:tabs>
        <w:spacing w:beforeLines="100" w:before="24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Consideration on reference carrier for semi-static </w:t>
      </w:r>
      <w:r>
        <w:rPr>
          <w:rFonts w:ascii="Arial" w:hAnsi="Arial" w:hint="eastAsia"/>
          <w:b/>
          <w:sz w:val="22"/>
          <w:szCs w:val="22"/>
        </w:rPr>
        <w:t>IAB-node DU</w:t>
      </w:r>
      <w:r>
        <w:rPr>
          <w:rFonts w:ascii="Arial" w:hAnsi="Arial" w:hint="eastAsia"/>
          <w:b/>
          <w:sz w:val="22"/>
          <w:szCs w:val="22"/>
        </w:rPr>
        <w:t xml:space="preserve"> resource configuration</w:t>
      </w:r>
    </w:p>
    <w:p w:rsidR="00010AB7" w:rsidRDefault="00466D21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 Sanechips</w:t>
      </w:r>
    </w:p>
    <w:p w:rsidR="00010AB7" w:rsidRDefault="00466D21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8.10.3</w:t>
      </w:r>
    </w:p>
    <w:p w:rsidR="00010AB7" w:rsidRDefault="00466D21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010AB7" w:rsidRDefault="00466D21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010AB7" w:rsidRDefault="00466D21">
      <w:pPr>
        <w:spacing w:before="120" w:after="120"/>
        <w:rPr>
          <w:sz w:val="20"/>
        </w:rPr>
      </w:pPr>
      <w:r>
        <w:rPr>
          <w:sz w:val="20"/>
        </w:rPr>
        <w:t xml:space="preserve">This contribution further discusses the </w:t>
      </w:r>
      <w:r>
        <w:rPr>
          <w:rFonts w:hint="eastAsia"/>
          <w:sz w:val="20"/>
        </w:rPr>
        <w:t xml:space="preserve">other enhancements for semi-static DU resource configuration for Rel-17 </w:t>
      </w:r>
      <w:r>
        <w:rPr>
          <w:sz w:val="20"/>
        </w:rPr>
        <w:t>IAB</w:t>
      </w:r>
      <w:r>
        <w:rPr>
          <w:rFonts w:hint="eastAsia"/>
          <w:sz w:val="20"/>
        </w:rPr>
        <w:t>, such as how to specify a reference carrier used for H/S/NA resource configuration</w:t>
      </w:r>
      <w:r>
        <w:rPr>
          <w:rFonts w:hint="eastAsia"/>
          <w:sz w:val="20"/>
        </w:rPr>
        <w:t xml:space="preserve"> in frequency-domain</w:t>
      </w:r>
      <w:r>
        <w:rPr>
          <w:rFonts w:hint="eastAsia"/>
          <w:sz w:val="20"/>
          <w:szCs w:val="22"/>
        </w:rPr>
        <w:t>.</w:t>
      </w:r>
    </w:p>
    <w:p w:rsidR="00010AB7" w:rsidRDefault="00466D21">
      <w:pPr>
        <w:pStyle w:val="1"/>
        <w:keepNext w:val="0"/>
        <w:keepLines w:val="0"/>
        <w:widowControl w:val="0"/>
        <w:pBdr>
          <w:top w:val="none" w:sz="0" w:space="0" w:color="auto"/>
        </w:pBdr>
        <w:snapToGrid w:val="0"/>
        <w:spacing w:before="120" w:after="120" w:line="240" w:lineRule="auto"/>
        <w:ind w:left="431" w:hanging="431"/>
        <w:jc w:val="left"/>
      </w:pPr>
      <w:r>
        <w:rPr>
          <w:rFonts w:eastAsia="宋体" w:hint="eastAsia"/>
          <w:szCs w:val="22"/>
        </w:rPr>
        <w:t>Discussion</w:t>
      </w:r>
    </w:p>
    <w:p w:rsidR="00010AB7" w:rsidRDefault="00466D21">
      <w:pPr>
        <w:tabs>
          <w:tab w:val="left" w:pos="0"/>
        </w:tabs>
        <w:adjustRightInd w:val="0"/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>Semi-static DU resource configuration related agree</w:t>
      </w:r>
      <w:r>
        <w:rPr>
          <w:sz w:val="20"/>
        </w:rPr>
        <w:t>m</w:t>
      </w:r>
      <w:r>
        <w:rPr>
          <w:rFonts w:hint="eastAsia"/>
          <w:sz w:val="20"/>
        </w:rPr>
        <w:t>ents</w:t>
      </w:r>
      <w:r>
        <w:rPr>
          <w:sz w:val="20"/>
        </w:rPr>
        <w:t xml:space="preserve"> </w:t>
      </w:r>
      <w:r>
        <w:rPr>
          <w:rFonts w:hint="eastAsia"/>
          <w:sz w:val="20"/>
        </w:rPr>
        <w:t>[1] were reached as following: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76"/>
      </w:tblGrid>
      <w:tr w:rsidR="00010AB7">
        <w:tc>
          <w:tcPr>
            <w:tcW w:w="9876" w:type="dxa"/>
          </w:tcPr>
          <w:p w:rsidR="00010AB7" w:rsidRDefault="00466D21">
            <w:pPr>
              <w:spacing w:before="120" w:after="120"/>
              <w:ind w:left="1260" w:hanging="1260"/>
              <w:contextualSpacing/>
              <w:rPr>
                <w:rFonts w:cs="Times"/>
                <w:b/>
                <w:sz w:val="20"/>
                <w:highlight w:val="green"/>
              </w:rPr>
            </w:pPr>
            <w:r>
              <w:rPr>
                <w:rFonts w:cs="Times"/>
                <w:b/>
                <w:sz w:val="20"/>
                <w:highlight w:val="green"/>
              </w:rPr>
              <w:t>Agreement</w:t>
            </w:r>
          </w:p>
          <w:p w:rsidR="00010AB7" w:rsidRDefault="00466D21">
            <w:pPr>
              <w:spacing w:before="120" w:after="120"/>
              <w:contextualSpacing/>
              <w:rPr>
                <w:rFonts w:cs="Times"/>
                <w:bCs/>
                <w:sz w:val="20"/>
              </w:rPr>
            </w:pPr>
            <w:r>
              <w:rPr>
                <w:rFonts w:cs="Times"/>
                <w:bCs/>
                <w:sz w:val="20"/>
              </w:rPr>
              <w:t xml:space="preserve">For frequency domain multiplexing, H/S/NA configurations for an IAB-node are provided separately in addition to the Rel-16 </w:t>
            </w:r>
            <w:r>
              <w:rPr>
                <w:rFonts w:cs="Times"/>
                <w:bCs/>
                <w:sz w:val="20"/>
              </w:rPr>
              <w:t>H/S/NA</w:t>
            </w:r>
          </w:p>
          <w:p w:rsidR="00010AB7" w:rsidRDefault="00010AB7">
            <w:pPr>
              <w:spacing w:before="120" w:after="120"/>
              <w:rPr>
                <w:rFonts w:cs="Times"/>
                <w:bCs/>
                <w:sz w:val="20"/>
              </w:rPr>
            </w:pPr>
          </w:p>
          <w:p w:rsidR="00010AB7" w:rsidRDefault="00466D21">
            <w:pPr>
              <w:spacing w:before="120" w:after="120"/>
              <w:rPr>
                <w:rFonts w:cs="Times"/>
                <w:sz w:val="20"/>
              </w:rPr>
            </w:pPr>
            <w:r>
              <w:rPr>
                <w:rFonts w:cs="Times"/>
                <w:b/>
                <w:bCs/>
                <w:color w:val="000000"/>
                <w:sz w:val="20"/>
                <w:highlight w:val="green"/>
                <w:shd w:val="clear" w:color="auto" w:fill="FFFF00"/>
              </w:rPr>
              <w:t>Agreement</w:t>
            </w:r>
          </w:p>
          <w:p w:rsidR="00010AB7" w:rsidRDefault="00466D21">
            <w:pPr>
              <w:spacing w:before="120" w:after="120"/>
              <w:rPr>
                <w:rFonts w:cs="Times"/>
                <w:sz w:val="20"/>
              </w:rPr>
            </w:pPr>
            <w:r>
              <w:rPr>
                <w:rFonts w:cs="Times"/>
                <w:bCs/>
                <w:sz w:val="20"/>
              </w:rPr>
              <w:t>If an IAB node is configured with a frequency-domain H/S/NA configuration down select between the following options:</w:t>
            </w:r>
          </w:p>
          <w:p w:rsidR="00010AB7" w:rsidRDefault="00466D21">
            <w:pPr>
              <w:numPr>
                <w:ilvl w:val="0"/>
                <w:numId w:val="8"/>
              </w:numPr>
              <w:spacing w:before="120" w:after="120"/>
              <w:rPr>
                <w:rFonts w:eastAsia="Times New Roman" w:cs="Times"/>
                <w:bCs/>
                <w:color w:val="000000"/>
                <w:sz w:val="20"/>
              </w:rPr>
            </w:pPr>
            <w:r>
              <w:rPr>
                <w:rFonts w:eastAsia="Times New Roman" w:cs="Times"/>
                <w:bCs/>
                <w:color w:val="000000"/>
                <w:sz w:val="20"/>
              </w:rPr>
              <w:t>Alt. 1 Either the Rel-16 H/S/NA configuration or frequency domain configuration is applied for a given resource</w:t>
            </w:r>
          </w:p>
          <w:p w:rsidR="00010AB7" w:rsidRDefault="00466D21">
            <w:pPr>
              <w:numPr>
                <w:ilvl w:val="1"/>
                <w:numId w:val="8"/>
              </w:numPr>
              <w:spacing w:before="120" w:after="120"/>
              <w:rPr>
                <w:rFonts w:eastAsia="Times New Roman" w:cs="Times"/>
                <w:bCs/>
                <w:color w:val="000000"/>
                <w:sz w:val="20"/>
              </w:rPr>
            </w:pPr>
            <w:r>
              <w:rPr>
                <w:rFonts w:eastAsia="Times New Roman" w:cs="Times"/>
                <w:bCs/>
                <w:color w:val="000000"/>
                <w:sz w:val="20"/>
              </w:rPr>
              <w:t xml:space="preserve">FFS: </w:t>
            </w:r>
            <w:r>
              <w:rPr>
                <w:rFonts w:eastAsia="Times New Roman" w:cs="Times"/>
                <w:bCs/>
                <w:color w:val="000000"/>
                <w:sz w:val="20"/>
              </w:rPr>
              <w:t>Whether configurations are switched with per-slot, per-resource type within a slot, or per-symbol granularity</w:t>
            </w:r>
          </w:p>
          <w:p w:rsidR="00010AB7" w:rsidRDefault="00466D21">
            <w:pPr>
              <w:numPr>
                <w:ilvl w:val="0"/>
                <w:numId w:val="8"/>
              </w:numPr>
              <w:spacing w:before="120" w:after="120"/>
              <w:rPr>
                <w:rFonts w:eastAsia="Times New Roman" w:cs="Times"/>
                <w:bCs/>
                <w:color w:val="000000"/>
                <w:sz w:val="20"/>
              </w:rPr>
            </w:pPr>
            <w:r>
              <w:rPr>
                <w:rFonts w:eastAsia="Times New Roman" w:cs="Times"/>
                <w:bCs/>
                <w:color w:val="000000"/>
                <w:sz w:val="20"/>
              </w:rPr>
              <w:t>Alt. 2 The Rel-16 H/S/NA configuration and frequency domain configuration are jointly applied</w:t>
            </w:r>
          </w:p>
          <w:p w:rsidR="00010AB7" w:rsidRDefault="00010AB7">
            <w:pPr>
              <w:pStyle w:val="a6"/>
              <w:spacing w:before="120" w:after="120"/>
              <w:rPr>
                <w:rFonts w:eastAsia="Malgun Gothic" w:cs="Times"/>
                <w:sz w:val="20"/>
              </w:rPr>
            </w:pPr>
          </w:p>
          <w:p w:rsidR="00010AB7" w:rsidRDefault="00466D21">
            <w:pPr>
              <w:spacing w:before="120" w:after="120"/>
              <w:rPr>
                <w:rFonts w:cs="Times"/>
                <w:sz w:val="20"/>
              </w:rPr>
            </w:pPr>
            <w:r>
              <w:rPr>
                <w:rFonts w:cs="Times"/>
                <w:b/>
                <w:bCs/>
                <w:color w:val="000000"/>
                <w:sz w:val="20"/>
                <w:highlight w:val="green"/>
                <w:shd w:val="clear" w:color="auto" w:fill="FFFF00"/>
              </w:rPr>
              <w:t>Agreement</w:t>
            </w:r>
          </w:p>
          <w:p w:rsidR="00010AB7" w:rsidRDefault="00466D21">
            <w:pPr>
              <w:spacing w:before="120" w:after="120"/>
              <w:rPr>
                <w:rFonts w:cs="Times"/>
                <w:sz w:val="20"/>
              </w:rPr>
            </w:pPr>
            <w:r>
              <w:rPr>
                <w:rFonts w:cs="Times"/>
                <w:bCs/>
                <w:sz w:val="20"/>
              </w:rPr>
              <w:t>The minimum resource size for configuring</w:t>
            </w:r>
            <w:r>
              <w:rPr>
                <w:rFonts w:cs="Times"/>
                <w:bCs/>
                <w:sz w:val="20"/>
              </w:rPr>
              <w:t xml:space="preserve"> the frequency domain granularity is a set of N RBs:</w:t>
            </w:r>
          </w:p>
          <w:p w:rsidR="00010AB7" w:rsidRDefault="00466D21">
            <w:pPr>
              <w:numPr>
                <w:ilvl w:val="0"/>
                <w:numId w:val="8"/>
              </w:numPr>
              <w:spacing w:before="120" w:after="120"/>
              <w:rPr>
                <w:rFonts w:eastAsia="Times New Roman" w:cs="Times"/>
                <w:bCs/>
                <w:color w:val="000000"/>
                <w:sz w:val="20"/>
              </w:rPr>
            </w:pPr>
            <w:r>
              <w:rPr>
                <w:rFonts w:eastAsia="Times New Roman" w:cs="Times"/>
                <w:bCs/>
                <w:color w:val="000000"/>
                <w:sz w:val="20"/>
              </w:rPr>
              <w:t>Candidate values for N: {4, 8, 16, other values TBD}</w:t>
            </w:r>
          </w:p>
          <w:p w:rsidR="00010AB7" w:rsidRDefault="00466D21">
            <w:pPr>
              <w:numPr>
                <w:ilvl w:val="0"/>
                <w:numId w:val="8"/>
              </w:numPr>
              <w:spacing w:before="120" w:after="120"/>
              <w:rPr>
                <w:rFonts w:eastAsia="Times New Roman" w:cs="Times"/>
                <w:bCs/>
                <w:color w:val="000000"/>
                <w:sz w:val="20"/>
              </w:rPr>
            </w:pPr>
            <w:r>
              <w:rPr>
                <w:rFonts w:eastAsia="Times New Roman" w:cs="Times"/>
                <w:bCs/>
                <w:color w:val="000000"/>
                <w:sz w:val="20"/>
              </w:rPr>
              <w:t>N is</w:t>
            </w:r>
            <w:r>
              <w:rPr>
                <w:rFonts w:cs="Times" w:hint="eastAsia"/>
                <w:color w:val="000000"/>
                <w:sz w:val="20"/>
              </w:rPr>
              <w:t xml:space="preserve"> </w:t>
            </w:r>
            <w:r>
              <w:rPr>
                <w:rFonts w:eastAsia="Times New Roman" w:cs="Times"/>
                <w:bCs/>
                <w:color w:val="000000"/>
                <w:sz w:val="20"/>
              </w:rPr>
              <w:t>at least the # PRBs that are corresponding to the MT’s # PRBs of an RBG).</w:t>
            </w:r>
          </w:p>
          <w:p w:rsidR="00010AB7" w:rsidRDefault="00466D21">
            <w:pPr>
              <w:numPr>
                <w:ilvl w:val="0"/>
                <w:numId w:val="8"/>
              </w:numPr>
              <w:spacing w:before="120" w:after="120"/>
              <w:rPr>
                <w:rFonts w:eastAsia="Times New Roman" w:cs="Times"/>
                <w:bCs/>
                <w:color w:val="000000"/>
                <w:sz w:val="20"/>
              </w:rPr>
            </w:pPr>
            <w:r>
              <w:rPr>
                <w:rFonts w:eastAsia="Times New Roman" w:cs="Times"/>
                <w:bCs/>
                <w:color w:val="000000"/>
                <w:sz w:val="20"/>
              </w:rPr>
              <w:t>FFS: Scaling or configuration of N based on system BW or size of IAB-MT</w:t>
            </w:r>
            <w:r>
              <w:rPr>
                <w:rFonts w:eastAsia="Times New Roman" w:cs="Times"/>
                <w:bCs/>
                <w:color w:val="000000"/>
                <w:sz w:val="20"/>
              </w:rPr>
              <w:t xml:space="preserve"> BWP</w:t>
            </w:r>
          </w:p>
          <w:p w:rsidR="00010AB7" w:rsidRDefault="00010AB7">
            <w:pPr>
              <w:pStyle w:val="Proposal"/>
              <w:tabs>
                <w:tab w:val="clear" w:pos="1701"/>
                <w:tab w:val="left" w:pos="0"/>
              </w:tabs>
              <w:snapToGrid w:val="0"/>
              <w:spacing w:beforeLines="0" w:afterLines="0" w:after="0" w:line="240" w:lineRule="auto"/>
              <w:ind w:left="0" w:firstLine="0"/>
              <w:rPr>
                <w:b w:val="0"/>
                <w:bCs w:val="0"/>
                <w:sz w:val="20"/>
              </w:rPr>
            </w:pPr>
          </w:p>
        </w:tc>
      </w:tr>
    </w:tbl>
    <w:p w:rsidR="00010AB7" w:rsidRDefault="00466D21">
      <w:pPr>
        <w:tabs>
          <w:tab w:val="left" w:pos="0"/>
        </w:tabs>
        <w:adjustRightInd w:val="0"/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 xml:space="preserve">According to the agreements above, it has been agreed </w:t>
      </w:r>
      <w:r>
        <w:rPr>
          <w:rFonts w:hint="eastAsia"/>
          <w:sz w:val="20"/>
        </w:rPr>
        <w:t xml:space="preserve">that </w:t>
      </w:r>
      <w:r>
        <w:rPr>
          <w:rFonts w:cs="Times"/>
          <w:bCs/>
          <w:sz w:val="20"/>
        </w:rPr>
        <w:t>a frequency-domain H/S/NA configuration</w:t>
      </w:r>
      <w:r>
        <w:rPr>
          <w:rFonts w:cs="Times" w:hint="eastAsia"/>
          <w:bCs/>
          <w:sz w:val="20"/>
        </w:rPr>
        <w:t xml:space="preserve"> </w:t>
      </w:r>
      <w:r>
        <w:rPr>
          <w:rFonts w:cs="Times"/>
          <w:bCs/>
          <w:sz w:val="20"/>
        </w:rPr>
        <w:t>for an IAB-node are provided separately in addition to the Rel-16 H/S/NA</w:t>
      </w:r>
      <w:r>
        <w:rPr>
          <w:rFonts w:hint="eastAsia"/>
          <w:sz w:val="20"/>
        </w:rPr>
        <w:t xml:space="preserve">. </w:t>
      </w:r>
      <w:r>
        <w:rPr>
          <w:rFonts w:hint="eastAsia"/>
          <w:sz w:val="20"/>
        </w:rPr>
        <w:t xml:space="preserve">Where </w:t>
      </w:r>
      <w:r>
        <w:rPr>
          <w:rFonts w:cs="Times"/>
          <w:bCs/>
          <w:sz w:val="20"/>
        </w:rPr>
        <w:t xml:space="preserve">a frequency-domain H/S/NA </w:t>
      </w:r>
      <w:r>
        <w:rPr>
          <w:rFonts w:cs="Times" w:hint="eastAsia"/>
          <w:bCs/>
          <w:sz w:val="20"/>
        </w:rPr>
        <w:t xml:space="preserve">can be provided for each RB set (e.g. a set of consecutive PRBs within a carrier). </w:t>
      </w:r>
      <w:r>
        <w:rPr>
          <w:rFonts w:hint="eastAsia"/>
          <w:sz w:val="20"/>
        </w:rPr>
        <w:t>That is, H/S/NA resource configuration per RB set within carrier should be supported.</w:t>
      </w:r>
    </w:p>
    <w:p w:rsidR="00010AB7" w:rsidRDefault="00466D21">
      <w:pPr>
        <w:tabs>
          <w:tab w:val="left" w:pos="0"/>
        </w:tabs>
        <w:adjustRightInd w:val="0"/>
        <w:snapToGrid w:val="0"/>
        <w:spacing w:before="120" w:after="120"/>
        <w:rPr>
          <w:b/>
          <w:bCs/>
          <w:i/>
          <w:iCs/>
          <w:sz w:val="20"/>
        </w:rPr>
      </w:pPr>
      <w:r>
        <w:rPr>
          <w:rFonts w:hint="eastAsia"/>
          <w:sz w:val="20"/>
        </w:rPr>
        <w:lastRenderedPageBreak/>
        <w:t>As specified in TS38.473 [2], IAB-</w:t>
      </w:r>
      <w:r>
        <w:rPr>
          <w:rFonts w:hint="eastAsia"/>
          <w:sz w:val="20"/>
        </w:rPr>
        <w:t xml:space="preserve">node </w:t>
      </w:r>
      <w:r>
        <w:rPr>
          <w:rFonts w:hint="eastAsia"/>
          <w:sz w:val="20"/>
        </w:rPr>
        <w:t>DU reports Served Cell Information to CU</w:t>
      </w:r>
      <w:r>
        <w:rPr>
          <w:rFonts w:hint="eastAsia"/>
          <w:sz w:val="20"/>
        </w:rPr>
        <w:t>.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For </w:t>
      </w:r>
      <w:r>
        <w:rPr>
          <w:rFonts w:hint="eastAsia"/>
          <w:sz w:val="20"/>
        </w:rPr>
        <w:t>ea</w:t>
      </w:r>
      <w:r>
        <w:rPr>
          <w:rFonts w:hint="eastAsia"/>
          <w:sz w:val="20"/>
        </w:rPr>
        <w:t xml:space="preserve">ch cell </w:t>
      </w:r>
      <w:r>
        <w:rPr>
          <w:rFonts w:hint="eastAsia"/>
          <w:sz w:val="20"/>
        </w:rPr>
        <w:t xml:space="preserve">of IAB-node DU, IAB-node DU needs to report </w:t>
      </w:r>
      <w:r>
        <w:rPr>
          <w:rFonts w:hint="eastAsia"/>
          <w:sz w:val="20"/>
        </w:rPr>
        <w:t xml:space="preserve">carrier frequency information, such as information elements include FreInfo (e.g. ARFCN, Frequency Band), CarrierList(e.g. SCS, Offset to Carrier, Carrier Bandwidth) etc.. That is, CU is aware of SCS-specific </w:t>
      </w:r>
      <w:r>
        <w:rPr>
          <w:rFonts w:hint="eastAsia"/>
          <w:sz w:val="20"/>
        </w:rPr>
        <w:t>carriers (i.e. CarrierList reported by IAB-</w:t>
      </w:r>
      <w:r>
        <w:rPr>
          <w:rFonts w:hint="eastAsia"/>
          <w:sz w:val="20"/>
        </w:rPr>
        <w:t>node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DU) of each IAB-</w:t>
      </w:r>
      <w:r>
        <w:rPr>
          <w:rFonts w:hint="eastAsia"/>
          <w:sz w:val="20"/>
        </w:rPr>
        <w:t xml:space="preserve">node </w:t>
      </w:r>
      <w:r>
        <w:rPr>
          <w:rFonts w:hint="eastAsia"/>
          <w:sz w:val="20"/>
        </w:rPr>
        <w:t xml:space="preserve">DU cell. However, when CU is reported more than one SCS-specific carriers for an </w:t>
      </w:r>
      <w:r>
        <w:rPr>
          <w:rFonts w:hint="eastAsia"/>
          <w:sz w:val="20"/>
        </w:rPr>
        <w:t>IAB-node DU</w:t>
      </w:r>
      <w:r>
        <w:rPr>
          <w:rFonts w:hint="eastAsia"/>
          <w:sz w:val="20"/>
        </w:rPr>
        <w:t xml:space="preserve"> cell, theoretically, the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CU can take any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SCS-specific carrier</w:t>
      </w:r>
      <w:r>
        <w:rPr>
          <w:rFonts w:hint="eastAsia"/>
          <w:sz w:val="20"/>
        </w:rPr>
        <w:t xml:space="preserve"> or its own defined/determined carrier</w:t>
      </w:r>
      <w:r>
        <w:rPr>
          <w:rFonts w:hint="eastAsia"/>
          <w:sz w:val="20"/>
        </w:rPr>
        <w:t xml:space="preserve"> as a reference carrier for the </w:t>
      </w:r>
      <w:r>
        <w:rPr>
          <w:rFonts w:hint="eastAsia"/>
          <w:sz w:val="20"/>
        </w:rPr>
        <w:t>IAB-node D</w:t>
      </w:r>
      <w:r>
        <w:rPr>
          <w:rFonts w:hint="eastAsia"/>
          <w:sz w:val="20"/>
        </w:rPr>
        <w:t>U</w:t>
      </w:r>
      <w:r>
        <w:rPr>
          <w:rFonts w:hint="eastAsia"/>
          <w:sz w:val="20"/>
        </w:rPr>
        <w:t xml:space="preserve"> cell to define RB sets for H/S/NA resource configuration in frequency-domain. Therefore, IAB-</w:t>
      </w:r>
      <w:r>
        <w:rPr>
          <w:rFonts w:hint="eastAsia"/>
          <w:sz w:val="20"/>
        </w:rPr>
        <w:t xml:space="preserve">node </w:t>
      </w:r>
      <w:r>
        <w:rPr>
          <w:rFonts w:hint="eastAsia"/>
          <w:sz w:val="20"/>
        </w:rPr>
        <w:t>DU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should know which carrier</w:t>
      </w:r>
      <w:r>
        <w:rPr>
          <w:rFonts w:hint="eastAsia"/>
          <w:sz w:val="20"/>
        </w:rPr>
        <w:t xml:space="preserve"> (e.g. either which one of the </w:t>
      </w:r>
      <w:r>
        <w:rPr>
          <w:rFonts w:hint="eastAsia"/>
          <w:sz w:val="20"/>
        </w:rPr>
        <w:t>SCS-specific carrier</w:t>
      </w:r>
      <w:r>
        <w:rPr>
          <w:rFonts w:hint="eastAsia"/>
          <w:sz w:val="20"/>
        </w:rPr>
        <w:t>s, or the carrier defined/determined by CU itself)</w:t>
      </w:r>
      <w:r>
        <w:rPr>
          <w:rFonts w:hint="eastAsia"/>
          <w:sz w:val="20"/>
        </w:rPr>
        <w:t xml:space="preserve"> is the reference carrier t</w:t>
      </w:r>
      <w:r>
        <w:rPr>
          <w:rFonts w:hint="eastAsia"/>
          <w:sz w:val="20"/>
        </w:rPr>
        <w:t>o derive frequency position of the RB sets.</w:t>
      </w:r>
    </w:p>
    <w:p w:rsidR="00010AB7" w:rsidRDefault="00466D21">
      <w:pPr>
        <w:pStyle w:val="YJ-Observation"/>
        <w:spacing w:before="120" w:after="120"/>
        <w:rPr>
          <w:lang w:val="en-US" w:eastAsia="zh-CN"/>
        </w:rPr>
      </w:pPr>
      <w:bookmarkStart w:id="0" w:name="_Toc3271"/>
      <w:bookmarkStart w:id="1" w:name="_Toc6006"/>
      <w:bookmarkStart w:id="2" w:name="_Toc71538421"/>
      <w:bookmarkStart w:id="3" w:name="_Toc79164250"/>
      <w:r>
        <w:rPr>
          <w:rFonts w:hint="eastAsia"/>
          <w:lang w:val="en-US" w:eastAsia="zh-CN"/>
        </w:rPr>
        <w:t xml:space="preserve">If more than one SCS-specific carrier for an IAB-node DU cell is reported to CU, IAB-node DU should know which carrier (e.g. either which one of the SCS-specific carriers or the carrier defined/determined by CU) </w:t>
      </w:r>
      <w:r>
        <w:rPr>
          <w:rFonts w:hint="eastAsia"/>
          <w:lang w:val="en-US" w:eastAsia="zh-CN"/>
        </w:rPr>
        <w:t>is used by CU to define the RB sets for H/S/NA resource configuration in frequency domai</w:t>
      </w:r>
      <w:r>
        <w:rPr>
          <w:rFonts w:hint="eastAsia"/>
          <w:lang w:val="en-US" w:eastAsia="zh-CN"/>
        </w:rPr>
        <w:t>n.</w:t>
      </w:r>
      <w:bookmarkEnd w:id="0"/>
      <w:bookmarkEnd w:id="1"/>
      <w:bookmarkEnd w:id="2"/>
      <w:bookmarkEnd w:id="3"/>
    </w:p>
    <w:p w:rsidR="00010AB7" w:rsidRDefault="00466D21">
      <w:pPr>
        <w:pStyle w:val="YJ-Proposal"/>
        <w:spacing w:before="120" w:after="120"/>
        <w:rPr>
          <w:lang w:val="en-US"/>
        </w:rPr>
      </w:pPr>
      <w:bookmarkStart w:id="4" w:name="_Toc71538424"/>
      <w:bookmarkStart w:id="5" w:name="_Toc13764"/>
      <w:bookmarkStart w:id="6" w:name="_Toc32414"/>
      <w:bookmarkStart w:id="7" w:name="_Toc19470"/>
      <w:bookmarkStart w:id="8" w:name="_Toc168"/>
      <w:r>
        <w:rPr>
          <w:rFonts w:hint="eastAsia"/>
          <w:lang w:val="en-US" w:eastAsia="zh-CN"/>
        </w:rPr>
        <w:t>A reference carrier used for H/S/NA resource configuration in frequency-domain for an IAB-node DU cell should be specified</w:t>
      </w:r>
      <w:r>
        <w:rPr>
          <w:lang w:val="en-US"/>
        </w:rPr>
        <w:t>.</w:t>
      </w:r>
      <w:bookmarkEnd w:id="4"/>
      <w:bookmarkEnd w:id="5"/>
      <w:bookmarkEnd w:id="6"/>
      <w:bookmarkEnd w:id="7"/>
      <w:bookmarkEnd w:id="8"/>
    </w:p>
    <w:p w:rsidR="00010AB7" w:rsidRDefault="00466D21">
      <w:pPr>
        <w:tabs>
          <w:tab w:val="left" w:pos="0"/>
        </w:tabs>
        <w:adjustRightInd w:val="0"/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 xml:space="preserve">On the other hand, it is reasonable that </w:t>
      </w:r>
      <w:r>
        <w:rPr>
          <w:rFonts w:hint="eastAsia"/>
          <w:sz w:val="20"/>
        </w:rPr>
        <w:t xml:space="preserve">parent node can be made aware of </w:t>
      </w:r>
      <w:r>
        <w:rPr>
          <w:rFonts w:hint="eastAsia"/>
          <w:sz w:val="20"/>
        </w:rPr>
        <w:t>IAB-node DU</w:t>
      </w:r>
      <w:r>
        <w:rPr>
          <w:rFonts w:hint="eastAsia"/>
          <w:sz w:val="20"/>
        </w:rPr>
        <w:t xml:space="preserve"> cell H/S/NA resource configuration in frequency-domain to have a good understanding of H/S/NA resource type of an </w:t>
      </w:r>
      <w:r>
        <w:rPr>
          <w:rFonts w:hint="eastAsia"/>
          <w:sz w:val="20"/>
        </w:rPr>
        <w:t>IAB-node DU</w:t>
      </w:r>
      <w:r>
        <w:rPr>
          <w:rFonts w:hint="eastAsia"/>
          <w:sz w:val="20"/>
        </w:rPr>
        <w:t xml:space="preserve"> cell and then make appropriated assumption about the resource availability at IAB-</w:t>
      </w:r>
      <w:r>
        <w:rPr>
          <w:rFonts w:hint="eastAsia"/>
          <w:sz w:val="20"/>
        </w:rPr>
        <w:t>nod</w:t>
      </w:r>
      <w:r>
        <w:rPr>
          <w:rFonts w:hint="eastAsia"/>
          <w:sz w:val="20"/>
        </w:rPr>
        <w:t xml:space="preserve">e </w:t>
      </w:r>
      <w:r>
        <w:rPr>
          <w:rFonts w:hint="eastAsia"/>
          <w:sz w:val="20"/>
        </w:rPr>
        <w:t xml:space="preserve">MT. However, according to current specification, the parent node does not know carrier frequency information of </w:t>
      </w:r>
      <w:r>
        <w:rPr>
          <w:rFonts w:hint="eastAsia"/>
          <w:sz w:val="20"/>
        </w:rPr>
        <w:t>IAB-node DU</w:t>
      </w:r>
      <w:r>
        <w:rPr>
          <w:rFonts w:hint="eastAsia"/>
          <w:sz w:val="20"/>
        </w:rPr>
        <w:t xml:space="preserve"> cell. Therefore, how the CU indicates the </w:t>
      </w:r>
      <w:r>
        <w:rPr>
          <w:rFonts w:hint="eastAsia"/>
          <w:sz w:val="20"/>
        </w:rPr>
        <w:t>IAB-node DU</w:t>
      </w:r>
      <w:r>
        <w:rPr>
          <w:rFonts w:hint="eastAsia"/>
          <w:sz w:val="20"/>
        </w:rPr>
        <w:t xml:space="preserve"> cell H/S/NA resource configuration in frequency-domain to parent node needs </w:t>
      </w:r>
      <w:r>
        <w:rPr>
          <w:rFonts w:hint="eastAsia"/>
          <w:sz w:val="20"/>
        </w:rPr>
        <w:t>further study.</w:t>
      </w:r>
    </w:p>
    <w:p w:rsidR="00010AB7" w:rsidRDefault="00466D21">
      <w:pPr>
        <w:pStyle w:val="YJ-Proposal"/>
        <w:spacing w:before="120" w:after="120"/>
        <w:rPr>
          <w:lang w:val="en-US"/>
        </w:rPr>
      </w:pPr>
      <w:bookmarkStart w:id="9" w:name="_Toc71538425"/>
      <w:bookmarkStart w:id="10" w:name="_Toc10069"/>
      <w:bookmarkStart w:id="11" w:name="_Toc26829"/>
      <w:r>
        <w:rPr>
          <w:rFonts w:hint="eastAsia"/>
          <w:lang w:val="en-US" w:eastAsia="zh-CN"/>
        </w:rPr>
        <w:t>Parent nodes should be made aware of the carrier frequency information and reference carrier of an IAB DU cell</w:t>
      </w:r>
      <w:r>
        <w:rPr>
          <w:lang w:val="en-US"/>
        </w:rPr>
        <w:t>.</w:t>
      </w:r>
      <w:bookmarkEnd w:id="9"/>
      <w:bookmarkEnd w:id="10"/>
      <w:bookmarkEnd w:id="11"/>
    </w:p>
    <w:p w:rsidR="00010AB7" w:rsidRDefault="00466D21">
      <w:pPr>
        <w:pStyle w:val="sub-proposal"/>
        <w:tabs>
          <w:tab w:val="left" w:pos="420"/>
        </w:tabs>
        <w:spacing w:before="120" w:after="120"/>
        <w:ind w:left="822" w:hanging="402"/>
        <w:rPr>
          <w:lang w:val="en-US" w:eastAsia="zh-CN"/>
        </w:rPr>
      </w:pPr>
      <w:bookmarkStart w:id="12" w:name="_Toc28541"/>
      <w:bookmarkStart w:id="13" w:name="_Toc71538426"/>
      <w:bookmarkStart w:id="14" w:name="_Toc27790"/>
      <w:bookmarkStart w:id="15" w:name="_Toc68678818"/>
      <w:bookmarkStart w:id="16" w:name="_Toc4136"/>
      <w:bookmarkStart w:id="17" w:name="_Toc4810"/>
      <w:bookmarkStart w:id="18" w:name="_Toc11078"/>
      <w:bookmarkStart w:id="19" w:name="_Toc1678"/>
      <w:bookmarkStart w:id="20" w:name="_Toc12641"/>
      <w:r>
        <w:rPr>
          <w:lang w:val="en-US" w:eastAsia="zh-CN"/>
        </w:rPr>
        <w:t xml:space="preserve">FFS: how to </w:t>
      </w:r>
      <w:r>
        <w:rPr>
          <w:rFonts w:hint="eastAsia"/>
          <w:lang w:val="en-US" w:eastAsia="zh-CN"/>
        </w:rPr>
        <w:t>indicates the IAB-node DU cell H/S/NA resource configuration in frequency-domain to the parent node by CU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010AB7" w:rsidRDefault="00010AB7">
      <w:pPr>
        <w:adjustRightInd w:val="0"/>
        <w:snapToGrid w:val="0"/>
        <w:spacing w:beforeLines="0" w:afterLines="0" w:after="0" w:line="240" w:lineRule="auto"/>
      </w:pPr>
    </w:p>
    <w:p w:rsidR="00010AB7" w:rsidRDefault="00466D21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010AB7" w:rsidRDefault="00466D21">
      <w:pPr>
        <w:tabs>
          <w:tab w:val="left" w:pos="2520"/>
        </w:tabs>
        <w:spacing w:before="120" w:after="120"/>
        <w:rPr>
          <w:sz w:val="20"/>
        </w:rPr>
      </w:pPr>
      <w:r>
        <w:rPr>
          <w:rFonts w:hint="eastAsia"/>
          <w:sz w:val="20"/>
        </w:rPr>
        <w:t>According to the discussion above, we provide the following observation and proposals:</w:t>
      </w:r>
    </w:p>
    <w:bookmarkStart w:id="21" w:name="_GoBack"/>
    <w:bookmarkEnd w:id="21"/>
    <w:p w:rsidR="00466D21" w:rsidRDefault="00466D21">
      <w:pPr>
        <w:pStyle w:val="10"/>
        <w:tabs>
          <w:tab w:val="left" w:pos="1470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>
        <w:instrText>TOC \n  \t "YJ-Observation,1,sub-observation,2,3rd level observation,3" \h</w:instrText>
      </w:r>
      <w:r>
        <w:fldChar w:fldCharType="separate"/>
      </w:r>
      <w:hyperlink w:anchor="_Toc79164250" w:history="1">
        <w:r w:rsidRPr="005A1836">
          <w:rPr>
            <w:rStyle w:val="af0"/>
            <w:rFonts w:eastAsia="宋体"/>
            <w:noProof/>
          </w:rPr>
          <w:t>Observation 1:</w:t>
        </w:r>
        <w:r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Pr="005A1836">
          <w:rPr>
            <w:rStyle w:val="af0"/>
            <w:noProof/>
          </w:rPr>
          <w:t>If more than one SCS-specific carrier for an IAB-node DU cell is reported to CU, IAB-node DU should know which carrier (e.g. either which one of the SCS-specific carriers or the carrier defined/determined by CU) is used by CU to define the RB sets for H/S/NA resource configuration in frequency domain.</w:t>
        </w:r>
      </w:hyperlink>
    </w:p>
    <w:p w:rsidR="00010AB7" w:rsidRDefault="00466D21">
      <w:pPr>
        <w:tabs>
          <w:tab w:val="decimal" w:pos="0"/>
          <w:tab w:val="left" w:pos="1470"/>
          <w:tab w:val="right" w:pos="9660"/>
        </w:tabs>
        <w:spacing w:before="120" w:after="120"/>
        <w:rPr>
          <w:sz w:val="20"/>
        </w:rPr>
      </w:pPr>
      <w:r>
        <w:rPr>
          <w:sz w:val="20"/>
        </w:rPr>
        <w:fldChar w:fldCharType="end"/>
      </w:r>
    </w:p>
    <w:p w:rsidR="00010AB7" w:rsidRDefault="00466D21">
      <w:pPr>
        <w:pStyle w:val="10"/>
        <w:tabs>
          <w:tab w:val="right" w:pos="9660"/>
        </w:tabs>
        <w:spacing w:before="120" w:after="120"/>
      </w:pPr>
      <w:r>
        <w:fldChar w:fldCharType="begin"/>
      </w:r>
      <w:r>
        <w:instrText>TOC \</w:instrText>
      </w:r>
      <w:r>
        <w:instrText>n  \t "YJ-Proposal,1,sub-proposal,2,3rd level proposal,3" \h</w:instrText>
      </w:r>
      <w:r>
        <w:fldChar w:fldCharType="separate"/>
      </w:r>
      <w:hyperlink w:anchor="_Toc168" w:history="1">
        <w:r>
          <w:rPr>
            <w:rFonts w:eastAsia="宋体"/>
            <w:bCs/>
            <w:iCs/>
          </w:rPr>
          <w:t xml:space="preserve">Proposal 1: </w:t>
        </w:r>
        <w:r>
          <w:rPr>
            <w:rFonts w:hint="eastAsia"/>
          </w:rPr>
          <w:t>A reference carrier used for H/S/NA resource configuration in frequency-domain for an IAB-node DU cell should be specified</w:t>
        </w:r>
        <w:r>
          <w:t>.</w:t>
        </w:r>
      </w:hyperlink>
    </w:p>
    <w:p w:rsidR="00010AB7" w:rsidRDefault="00466D21">
      <w:pPr>
        <w:pStyle w:val="10"/>
        <w:tabs>
          <w:tab w:val="right" w:pos="9660"/>
        </w:tabs>
        <w:spacing w:before="120" w:after="120"/>
      </w:pPr>
      <w:hyperlink w:anchor="_Toc10069" w:history="1">
        <w:r>
          <w:rPr>
            <w:rFonts w:eastAsia="宋体"/>
            <w:bCs/>
            <w:iCs/>
          </w:rPr>
          <w:t xml:space="preserve">Proposal 2: </w:t>
        </w:r>
        <w:r>
          <w:rPr>
            <w:rFonts w:hint="eastAsia"/>
          </w:rPr>
          <w:t>Parent nodes should be made aware of the carrier frequency information and reference carrier of an IAB DU cell</w:t>
        </w:r>
        <w:r>
          <w:t>.</w:t>
        </w:r>
      </w:hyperlink>
    </w:p>
    <w:p w:rsidR="00010AB7" w:rsidRDefault="00466D21">
      <w:pPr>
        <w:pStyle w:val="21"/>
        <w:tabs>
          <w:tab w:val="right" w:pos="9660"/>
        </w:tabs>
        <w:spacing w:before="120" w:after="120"/>
        <w:ind w:left="822" w:hanging="402"/>
      </w:pPr>
      <w:hyperlink w:anchor="_Toc27790" w:history="1">
        <w:r>
          <w:rPr>
            <w:rFonts w:ascii="Arial" w:hAnsi="Arial" w:cs="Arial"/>
          </w:rPr>
          <w:t xml:space="preserve">• </w:t>
        </w:r>
        <w:r>
          <w:t xml:space="preserve">FFS: how to </w:t>
        </w:r>
        <w:r>
          <w:rPr>
            <w:rFonts w:hint="eastAsia"/>
          </w:rPr>
          <w:t>indicates the IAB-node DU cell H/S/NA resource configuration in frequency-domain to the par</w:t>
        </w:r>
        <w:r>
          <w:rPr>
            <w:rFonts w:hint="eastAsia"/>
          </w:rPr>
          <w:t>ent node by CU</w:t>
        </w:r>
      </w:hyperlink>
    </w:p>
    <w:p w:rsidR="00010AB7" w:rsidRDefault="00466D21">
      <w:pPr>
        <w:tabs>
          <w:tab w:val="left" w:pos="2520"/>
        </w:tabs>
        <w:spacing w:before="120" w:after="120"/>
        <w:rPr>
          <w:sz w:val="20"/>
        </w:rPr>
      </w:pPr>
      <w:r>
        <w:rPr>
          <w:sz w:val="20"/>
        </w:rPr>
        <w:fldChar w:fldCharType="end"/>
      </w:r>
    </w:p>
    <w:p w:rsidR="00010AB7" w:rsidRDefault="00466D21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lastRenderedPageBreak/>
        <w:t>Reference</w:t>
      </w:r>
      <w:r>
        <w:rPr>
          <w:rFonts w:eastAsia="宋体"/>
        </w:rPr>
        <w:t>s</w:t>
      </w:r>
    </w:p>
    <w:p w:rsidR="00010AB7" w:rsidRDefault="00466D21">
      <w:pPr>
        <w:pStyle w:val="References"/>
        <w:spacing w:before="120" w:after="120"/>
        <w:ind w:left="363" w:hanging="363"/>
      </w:pPr>
      <w:r>
        <w:rPr>
          <w:rFonts w:hint="eastAsia"/>
        </w:rPr>
        <w:t>Chair's Notes RAN1#10</w:t>
      </w:r>
      <w:r>
        <w:rPr>
          <w:rFonts w:hint="eastAsia"/>
        </w:rPr>
        <w:t>5</w:t>
      </w:r>
      <w:r>
        <w:rPr>
          <w:rFonts w:hint="eastAsia"/>
        </w:rPr>
        <w:t>-e</w:t>
      </w:r>
    </w:p>
    <w:p w:rsidR="00010AB7" w:rsidRDefault="00466D21">
      <w:pPr>
        <w:pStyle w:val="References"/>
        <w:spacing w:before="120" w:after="120"/>
        <w:ind w:left="363" w:hanging="363"/>
      </w:pPr>
      <w:r>
        <w:t xml:space="preserve">TS38.473 3GPP NG-RAN F1 application protocol (F1-AP) </w:t>
      </w:r>
    </w:p>
    <w:sectPr w:rsidR="00010A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66D21">
      <w:pPr>
        <w:spacing w:before="120" w:after="120" w:line="240" w:lineRule="auto"/>
      </w:pPr>
      <w:r>
        <w:separator/>
      </w:r>
    </w:p>
  </w:endnote>
  <w:endnote w:type="continuationSeparator" w:id="0">
    <w:p w:rsidR="00000000" w:rsidRDefault="00466D21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AB7" w:rsidRDefault="00010AB7">
    <w:pPr>
      <w:pStyle w:val="a9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34744"/>
    </w:sdtPr>
    <w:sdtEndPr/>
    <w:sdtContent>
      <w:p w:rsidR="00010AB7" w:rsidRDefault="00466D21">
        <w:pPr>
          <w:pStyle w:val="a9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10AB7" w:rsidRDefault="00010AB7">
    <w:pPr>
      <w:pStyle w:val="a9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AB7" w:rsidRDefault="00010AB7">
    <w:pPr>
      <w:pStyle w:val="a9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66D21">
      <w:pPr>
        <w:spacing w:before="120" w:after="120" w:line="240" w:lineRule="auto"/>
      </w:pPr>
      <w:r>
        <w:separator/>
      </w:r>
    </w:p>
  </w:footnote>
  <w:footnote w:type="continuationSeparator" w:id="0">
    <w:p w:rsidR="00000000" w:rsidRDefault="00466D21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AB7" w:rsidRDefault="00010AB7">
    <w:pPr>
      <w:pStyle w:val="aa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AB7" w:rsidRDefault="00010AB7">
    <w:pPr>
      <w:pStyle w:val="aa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AB7" w:rsidRDefault="00010AB7">
    <w:pPr>
      <w:pStyle w:val="aa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4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7">
    <w:nsid w:val="5D426F26"/>
    <w:multiLevelType w:val="multilevel"/>
    <w:tmpl w:val="5D426F2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AB7"/>
    <w:rsid w:val="000354E2"/>
    <w:rsid w:val="00071423"/>
    <w:rsid w:val="000731D9"/>
    <w:rsid w:val="000A2EE5"/>
    <w:rsid w:val="000C23F8"/>
    <w:rsid w:val="000D05AA"/>
    <w:rsid w:val="000E7CD3"/>
    <w:rsid w:val="0012771F"/>
    <w:rsid w:val="00167D1E"/>
    <w:rsid w:val="00172A27"/>
    <w:rsid w:val="00175FEC"/>
    <w:rsid w:val="00220CC6"/>
    <w:rsid w:val="0022267B"/>
    <w:rsid w:val="0029664F"/>
    <w:rsid w:val="002A0BF2"/>
    <w:rsid w:val="002C59CF"/>
    <w:rsid w:val="0031325A"/>
    <w:rsid w:val="00334292"/>
    <w:rsid w:val="00376C34"/>
    <w:rsid w:val="00384F99"/>
    <w:rsid w:val="00395697"/>
    <w:rsid w:val="003A1203"/>
    <w:rsid w:val="003E6CCE"/>
    <w:rsid w:val="0040257E"/>
    <w:rsid w:val="00404FF0"/>
    <w:rsid w:val="00405665"/>
    <w:rsid w:val="00433B93"/>
    <w:rsid w:val="00435878"/>
    <w:rsid w:val="00466D21"/>
    <w:rsid w:val="004A5900"/>
    <w:rsid w:val="004C0DBD"/>
    <w:rsid w:val="004C4675"/>
    <w:rsid w:val="004F2D29"/>
    <w:rsid w:val="004F6201"/>
    <w:rsid w:val="00500B54"/>
    <w:rsid w:val="0051732E"/>
    <w:rsid w:val="005265A6"/>
    <w:rsid w:val="00565453"/>
    <w:rsid w:val="00565559"/>
    <w:rsid w:val="005B065E"/>
    <w:rsid w:val="005C03CC"/>
    <w:rsid w:val="006369E0"/>
    <w:rsid w:val="0066322D"/>
    <w:rsid w:val="006757F1"/>
    <w:rsid w:val="006921E5"/>
    <w:rsid w:val="0069512F"/>
    <w:rsid w:val="00695650"/>
    <w:rsid w:val="00697EBB"/>
    <w:rsid w:val="006B4DFD"/>
    <w:rsid w:val="0070284D"/>
    <w:rsid w:val="00726BCF"/>
    <w:rsid w:val="00733AB8"/>
    <w:rsid w:val="00740B89"/>
    <w:rsid w:val="0077184F"/>
    <w:rsid w:val="007B39E8"/>
    <w:rsid w:val="007B51B3"/>
    <w:rsid w:val="007E5750"/>
    <w:rsid w:val="00823F23"/>
    <w:rsid w:val="00837885"/>
    <w:rsid w:val="008F6930"/>
    <w:rsid w:val="0090458B"/>
    <w:rsid w:val="00935B63"/>
    <w:rsid w:val="00936426"/>
    <w:rsid w:val="00955583"/>
    <w:rsid w:val="0096044C"/>
    <w:rsid w:val="009904A9"/>
    <w:rsid w:val="0099160A"/>
    <w:rsid w:val="00996F89"/>
    <w:rsid w:val="009C6D56"/>
    <w:rsid w:val="009E3245"/>
    <w:rsid w:val="009E7529"/>
    <w:rsid w:val="009F3678"/>
    <w:rsid w:val="009F7489"/>
    <w:rsid w:val="00A163E3"/>
    <w:rsid w:val="00A521CA"/>
    <w:rsid w:val="00AC03D1"/>
    <w:rsid w:val="00B04112"/>
    <w:rsid w:val="00B22688"/>
    <w:rsid w:val="00B5700F"/>
    <w:rsid w:val="00B6123B"/>
    <w:rsid w:val="00B6403D"/>
    <w:rsid w:val="00B646BE"/>
    <w:rsid w:val="00B675A2"/>
    <w:rsid w:val="00B75F9E"/>
    <w:rsid w:val="00B81A17"/>
    <w:rsid w:val="00B82A09"/>
    <w:rsid w:val="00B82BEF"/>
    <w:rsid w:val="00B9727F"/>
    <w:rsid w:val="00BB423E"/>
    <w:rsid w:val="00BE204A"/>
    <w:rsid w:val="00C06B18"/>
    <w:rsid w:val="00C12E91"/>
    <w:rsid w:val="00C229E2"/>
    <w:rsid w:val="00C5250B"/>
    <w:rsid w:val="00C67E62"/>
    <w:rsid w:val="00C97A84"/>
    <w:rsid w:val="00CA2622"/>
    <w:rsid w:val="00CA43AD"/>
    <w:rsid w:val="00CB3383"/>
    <w:rsid w:val="00CD3BAB"/>
    <w:rsid w:val="00CE007D"/>
    <w:rsid w:val="00CF5CB2"/>
    <w:rsid w:val="00CF7BB0"/>
    <w:rsid w:val="00D64D14"/>
    <w:rsid w:val="00D83922"/>
    <w:rsid w:val="00DC658B"/>
    <w:rsid w:val="00DE1BC7"/>
    <w:rsid w:val="00DE3ABE"/>
    <w:rsid w:val="00E34B89"/>
    <w:rsid w:val="00E36661"/>
    <w:rsid w:val="00E865D3"/>
    <w:rsid w:val="00E8734D"/>
    <w:rsid w:val="00EC0971"/>
    <w:rsid w:val="00EC171F"/>
    <w:rsid w:val="00EC3177"/>
    <w:rsid w:val="00EE1459"/>
    <w:rsid w:val="00EF52B5"/>
    <w:rsid w:val="00F063F3"/>
    <w:rsid w:val="00F15363"/>
    <w:rsid w:val="00F24E71"/>
    <w:rsid w:val="00F447C8"/>
    <w:rsid w:val="00F461EF"/>
    <w:rsid w:val="00F978F9"/>
    <w:rsid w:val="00FA0A08"/>
    <w:rsid w:val="00FA7AB4"/>
    <w:rsid w:val="00FB3F4B"/>
    <w:rsid w:val="00FC03CC"/>
    <w:rsid w:val="00FC5E14"/>
    <w:rsid w:val="00FD2DE4"/>
    <w:rsid w:val="00FE4F57"/>
    <w:rsid w:val="01125B05"/>
    <w:rsid w:val="015702F1"/>
    <w:rsid w:val="015B20BD"/>
    <w:rsid w:val="016D1459"/>
    <w:rsid w:val="01764F01"/>
    <w:rsid w:val="01782D97"/>
    <w:rsid w:val="021660AD"/>
    <w:rsid w:val="02212D7E"/>
    <w:rsid w:val="024D6B6A"/>
    <w:rsid w:val="029B04E7"/>
    <w:rsid w:val="02B0155C"/>
    <w:rsid w:val="03073BDC"/>
    <w:rsid w:val="033F44DC"/>
    <w:rsid w:val="036B3CA6"/>
    <w:rsid w:val="03853D24"/>
    <w:rsid w:val="03C07821"/>
    <w:rsid w:val="03DB0701"/>
    <w:rsid w:val="03FA05E4"/>
    <w:rsid w:val="041D69DB"/>
    <w:rsid w:val="04824ADC"/>
    <w:rsid w:val="049820AC"/>
    <w:rsid w:val="04F43DBC"/>
    <w:rsid w:val="0555228E"/>
    <w:rsid w:val="059D1E39"/>
    <w:rsid w:val="059F4866"/>
    <w:rsid w:val="05E078B3"/>
    <w:rsid w:val="06100D8B"/>
    <w:rsid w:val="061A6A42"/>
    <w:rsid w:val="065D038F"/>
    <w:rsid w:val="069524E0"/>
    <w:rsid w:val="069635DB"/>
    <w:rsid w:val="06B1660B"/>
    <w:rsid w:val="06B2024B"/>
    <w:rsid w:val="06DF203C"/>
    <w:rsid w:val="07637E02"/>
    <w:rsid w:val="077D0583"/>
    <w:rsid w:val="079724D0"/>
    <w:rsid w:val="07E6520A"/>
    <w:rsid w:val="080E67B4"/>
    <w:rsid w:val="082A352F"/>
    <w:rsid w:val="0890537A"/>
    <w:rsid w:val="08C349D1"/>
    <w:rsid w:val="09F67CD5"/>
    <w:rsid w:val="0AE23704"/>
    <w:rsid w:val="0B9E71DF"/>
    <w:rsid w:val="0BA2140D"/>
    <w:rsid w:val="0BBA4E15"/>
    <w:rsid w:val="0BFD198D"/>
    <w:rsid w:val="0C423297"/>
    <w:rsid w:val="0C6450EC"/>
    <w:rsid w:val="0C7B0B06"/>
    <w:rsid w:val="0C89227F"/>
    <w:rsid w:val="0C9D30C2"/>
    <w:rsid w:val="0D303B09"/>
    <w:rsid w:val="0D553026"/>
    <w:rsid w:val="0D772C9C"/>
    <w:rsid w:val="0D91205B"/>
    <w:rsid w:val="0E172BD0"/>
    <w:rsid w:val="0E270DBD"/>
    <w:rsid w:val="0E6122BF"/>
    <w:rsid w:val="0E8F5401"/>
    <w:rsid w:val="0EFF5C2D"/>
    <w:rsid w:val="0F2563AB"/>
    <w:rsid w:val="0FD74648"/>
    <w:rsid w:val="0FFC20A5"/>
    <w:rsid w:val="10254982"/>
    <w:rsid w:val="109F3465"/>
    <w:rsid w:val="10A50104"/>
    <w:rsid w:val="10AD1CC0"/>
    <w:rsid w:val="10E348C8"/>
    <w:rsid w:val="119D7849"/>
    <w:rsid w:val="11B87794"/>
    <w:rsid w:val="1242135C"/>
    <w:rsid w:val="139868A2"/>
    <w:rsid w:val="13A1683F"/>
    <w:rsid w:val="14734AC9"/>
    <w:rsid w:val="147418D7"/>
    <w:rsid w:val="14DA3DA1"/>
    <w:rsid w:val="15945075"/>
    <w:rsid w:val="15F1581D"/>
    <w:rsid w:val="169F6619"/>
    <w:rsid w:val="16B42D4F"/>
    <w:rsid w:val="17155857"/>
    <w:rsid w:val="17950508"/>
    <w:rsid w:val="17CC176B"/>
    <w:rsid w:val="189D47FD"/>
    <w:rsid w:val="19010C43"/>
    <w:rsid w:val="19084C73"/>
    <w:rsid w:val="19200C2D"/>
    <w:rsid w:val="196257F1"/>
    <w:rsid w:val="1970363B"/>
    <w:rsid w:val="1A054259"/>
    <w:rsid w:val="1A2E0961"/>
    <w:rsid w:val="1A465517"/>
    <w:rsid w:val="1AED7764"/>
    <w:rsid w:val="1B3C1E7E"/>
    <w:rsid w:val="1B7F6005"/>
    <w:rsid w:val="1BF41F4E"/>
    <w:rsid w:val="1C102B7D"/>
    <w:rsid w:val="1C132CB9"/>
    <w:rsid w:val="1C330235"/>
    <w:rsid w:val="1CAB67AC"/>
    <w:rsid w:val="1CCC26CA"/>
    <w:rsid w:val="1D3C278A"/>
    <w:rsid w:val="1D736D6E"/>
    <w:rsid w:val="1DA2248D"/>
    <w:rsid w:val="1DED6FF3"/>
    <w:rsid w:val="1E151C5A"/>
    <w:rsid w:val="1E155F21"/>
    <w:rsid w:val="1E664B2D"/>
    <w:rsid w:val="1E9D6342"/>
    <w:rsid w:val="1E9F7677"/>
    <w:rsid w:val="1ED17146"/>
    <w:rsid w:val="1EE26241"/>
    <w:rsid w:val="1F737B98"/>
    <w:rsid w:val="1F7479F8"/>
    <w:rsid w:val="1FAE4DCB"/>
    <w:rsid w:val="1FE11599"/>
    <w:rsid w:val="202A4795"/>
    <w:rsid w:val="204E6676"/>
    <w:rsid w:val="20511086"/>
    <w:rsid w:val="206E1AB6"/>
    <w:rsid w:val="20712797"/>
    <w:rsid w:val="20A44CF8"/>
    <w:rsid w:val="20A52437"/>
    <w:rsid w:val="20BD6DD9"/>
    <w:rsid w:val="20CB6FE0"/>
    <w:rsid w:val="210838FC"/>
    <w:rsid w:val="211A0695"/>
    <w:rsid w:val="2195668B"/>
    <w:rsid w:val="21AA1991"/>
    <w:rsid w:val="21BE5AD4"/>
    <w:rsid w:val="21C90F74"/>
    <w:rsid w:val="21EC1042"/>
    <w:rsid w:val="225D3BA2"/>
    <w:rsid w:val="22B13907"/>
    <w:rsid w:val="23523D5B"/>
    <w:rsid w:val="23733000"/>
    <w:rsid w:val="23733413"/>
    <w:rsid w:val="23B71DF0"/>
    <w:rsid w:val="23DA1E98"/>
    <w:rsid w:val="24421E8F"/>
    <w:rsid w:val="245C52F8"/>
    <w:rsid w:val="2463385E"/>
    <w:rsid w:val="24D77AFB"/>
    <w:rsid w:val="24E702E9"/>
    <w:rsid w:val="24FF133F"/>
    <w:rsid w:val="2508650D"/>
    <w:rsid w:val="25134332"/>
    <w:rsid w:val="25722255"/>
    <w:rsid w:val="257E508F"/>
    <w:rsid w:val="2653091D"/>
    <w:rsid w:val="26595706"/>
    <w:rsid w:val="26A168EB"/>
    <w:rsid w:val="279863A0"/>
    <w:rsid w:val="27AB7429"/>
    <w:rsid w:val="28311F29"/>
    <w:rsid w:val="285C053E"/>
    <w:rsid w:val="28663D87"/>
    <w:rsid w:val="28911DA4"/>
    <w:rsid w:val="29DB0BB6"/>
    <w:rsid w:val="29FA7F26"/>
    <w:rsid w:val="2A115137"/>
    <w:rsid w:val="2A4E36C4"/>
    <w:rsid w:val="2A834EF2"/>
    <w:rsid w:val="2B376233"/>
    <w:rsid w:val="2B5D3F6B"/>
    <w:rsid w:val="2B774832"/>
    <w:rsid w:val="2B861983"/>
    <w:rsid w:val="2BAA3A2F"/>
    <w:rsid w:val="2CB47BAD"/>
    <w:rsid w:val="2CBA312D"/>
    <w:rsid w:val="2CBB479D"/>
    <w:rsid w:val="2CC16BCB"/>
    <w:rsid w:val="2D400079"/>
    <w:rsid w:val="2DAE78F4"/>
    <w:rsid w:val="2DB40767"/>
    <w:rsid w:val="2DC56BFE"/>
    <w:rsid w:val="2E9F0C6A"/>
    <w:rsid w:val="2EAF6620"/>
    <w:rsid w:val="2F1251F2"/>
    <w:rsid w:val="2F48200A"/>
    <w:rsid w:val="2FC86D5D"/>
    <w:rsid w:val="30962F3E"/>
    <w:rsid w:val="30B466C4"/>
    <w:rsid w:val="30D17E68"/>
    <w:rsid w:val="30FF2795"/>
    <w:rsid w:val="310B744E"/>
    <w:rsid w:val="31136AEE"/>
    <w:rsid w:val="313B70B9"/>
    <w:rsid w:val="31CE35AD"/>
    <w:rsid w:val="328C47B2"/>
    <w:rsid w:val="329A6ACE"/>
    <w:rsid w:val="32BF53D3"/>
    <w:rsid w:val="32C96B57"/>
    <w:rsid w:val="3306388C"/>
    <w:rsid w:val="34A126EA"/>
    <w:rsid w:val="34A3771F"/>
    <w:rsid w:val="34AF1772"/>
    <w:rsid w:val="34E5359A"/>
    <w:rsid w:val="35014D01"/>
    <w:rsid w:val="350D0BAE"/>
    <w:rsid w:val="35141A17"/>
    <w:rsid w:val="35260C93"/>
    <w:rsid w:val="35492540"/>
    <w:rsid w:val="35E341B6"/>
    <w:rsid w:val="35E42057"/>
    <w:rsid w:val="35E528C4"/>
    <w:rsid w:val="360B1D73"/>
    <w:rsid w:val="361F3323"/>
    <w:rsid w:val="3687350B"/>
    <w:rsid w:val="36A80195"/>
    <w:rsid w:val="36CA7148"/>
    <w:rsid w:val="36E93760"/>
    <w:rsid w:val="36FD4529"/>
    <w:rsid w:val="3784394E"/>
    <w:rsid w:val="3823721F"/>
    <w:rsid w:val="38AE3BB0"/>
    <w:rsid w:val="38BB682E"/>
    <w:rsid w:val="39D51AF2"/>
    <w:rsid w:val="39EE23EC"/>
    <w:rsid w:val="3A04068E"/>
    <w:rsid w:val="3ACB5746"/>
    <w:rsid w:val="3AFD505F"/>
    <w:rsid w:val="3B2F275D"/>
    <w:rsid w:val="3B4345A5"/>
    <w:rsid w:val="3B4C0706"/>
    <w:rsid w:val="3B4E3C4C"/>
    <w:rsid w:val="3BB20883"/>
    <w:rsid w:val="3C142E37"/>
    <w:rsid w:val="3C3D7506"/>
    <w:rsid w:val="3C5A4EA4"/>
    <w:rsid w:val="3C736E72"/>
    <w:rsid w:val="3CBC6328"/>
    <w:rsid w:val="3D0836E8"/>
    <w:rsid w:val="3DBF4CC8"/>
    <w:rsid w:val="3E2A3166"/>
    <w:rsid w:val="3E3B5572"/>
    <w:rsid w:val="3E441C7D"/>
    <w:rsid w:val="3E494A1E"/>
    <w:rsid w:val="3E6B774C"/>
    <w:rsid w:val="3EBA19A4"/>
    <w:rsid w:val="3F5E11B9"/>
    <w:rsid w:val="3FC956FF"/>
    <w:rsid w:val="3FEF0F46"/>
    <w:rsid w:val="40205795"/>
    <w:rsid w:val="40A36A71"/>
    <w:rsid w:val="40CF105F"/>
    <w:rsid w:val="41D3631F"/>
    <w:rsid w:val="41F10868"/>
    <w:rsid w:val="41F466FD"/>
    <w:rsid w:val="42063A2E"/>
    <w:rsid w:val="426B41A0"/>
    <w:rsid w:val="42A67A24"/>
    <w:rsid w:val="42D846B9"/>
    <w:rsid w:val="42F4675D"/>
    <w:rsid w:val="43352381"/>
    <w:rsid w:val="43666FF5"/>
    <w:rsid w:val="438E2DA7"/>
    <w:rsid w:val="438E69E2"/>
    <w:rsid w:val="43C20E87"/>
    <w:rsid w:val="440D5045"/>
    <w:rsid w:val="442D0474"/>
    <w:rsid w:val="4448179D"/>
    <w:rsid w:val="44795919"/>
    <w:rsid w:val="44DD00D9"/>
    <w:rsid w:val="452242AD"/>
    <w:rsid w:val="459E4FC8"/>
    <w:rsid w:val="45B55022"/>
    <w:rsid w:val="45BE6191"/>
    <w:rsid w:val="45DD4FD0"/>
    <w:rsid w:val="460C5979"/>
    <w:rsid w:val="476077FF"/>
    <w:rsid w:val="47701E40"/>
    <w:rsid w:val="47BF1887"/>
    <w:rsid w:val="47C01792"/>
    <w:rsid w:val="480304B2"/>
    <w:rsid w:val="4808150F"/>
    <w:rsid w:val="483069DE"/>
    <w:rsid w:val="489C5D93"/>
    <w:rsid w:val="490E085B"/>
    <w:rsid w:val="498A04F2"/>
    <w:rsid w:val="49E21330"/>
    <w:rsid w:val="49E9233D"/>
    <w:rsid w:val="4A0B4E23"/>
    <w:rsid w:val="4A1C6083"/>
    <w:rsid w:val="4A292E2A"/>
    <w:rsid w:val="4A3B68B3"/>
    <w:rsid w:val="4AA27320"/>
    <w:rsid w:val="4AAD1944"/>
    <w:rsid w:val="4AC31003"/>
    <w:rsid w:val="4AD74BE4"/>
    <w:rsid w:val="4AE93159"/>
    <w:rsid w:val="4B2951ED"/>
    <w:rsid w:val="4BC26F18"/>
    <w:rsid w:val="4BD0339A"/>
    <w:rsid w:val="4CC32450"/>
    <w:rsid w:val="4D2624F7"/>
    <w:rsid w:val="4D462159"/>
    <w:rsid w:val="4D5C5FAC"/>
    <w:rsid w:val="4D903CAF"/>
    <w:rsid w:val="4D9513F6"/>
    <w:rsid w:val="4DB00E6A"/>
    <w:rsid w:val="4DBF6042"/>
    <w:rsid w:val="4DC605B6"/>
    <w:rsid w:val="4DD636F4"/>
    <w:rsid w:val="4DEC0985"/>
    <w:rsid w:val="4E27683A"/>
    <w:rsid w:val="4E354B62"/>
    <w:rsid w:val="4E4955E8"/>
    <w:rsid w:val="4E6A4780"/>
    <w:rsid w:val="4F2765B1"/>
    <w:rsid w:val="4F285975"/>
    <w:rsid w:val="4FE940C0"/>
    <w:rsid w:val="4FFD30B0"/>
    <w:rsid w:val="506901EE"/>
    <w:rsid w:val="50961E20"/>
    <w:rsid w:val="51867298"/>
    <w:rsid w:val="51B71D35"/>
    <w:rsid w:val="51BC6AA4"/>
    <w:rsid w:val="52195EDF"/>
    <w:rsid w:val="52313387"/>
    <w:rsid w:val="52B2717C"/>
    <w:rsid w:val="52B30520"/>
    <w:rsid w:val="52DC42BA"/>
    <w:rsid w:val="52E04D27"/>
    <w:rsid w:val="538D4AB7"/>
    <w:rsid w:val="539A390F"/>
    <w:rsid w:val="53DB3477"/>
    <w:rsid w:val="540C5529"/>
    <w:rsid w:val="54761BC2"/>
    <w:rsid w:val="54983F44"/>
    <w:rsid w:val="54A3122C"/>
    <w:rsid w:val="54AF6B42"/>
    <w:rsid w:val="54BB3E92"/>
    <w:rsid w:val="55BA37EE"/>
    <w:rsid w:val="55C32F84"/>
    <w:rsid w:val="55DD6F2A"/>
    <w:rsid w:val="563D4C53"/>
    <w:rsid w:val="567C15E8"/>
    <w:rsid w:val="56E23970"/>
    <w:rsid w:val="5781455A"/>
    <w:rsid w:val="578F220A"/>
    <w:rsid w:val="57FC07D9"/>
    <w:rsid w:val="58500F22"/>
    <w:rsid w:val="588E0520"/>
    <w:rsid w:val="591C0009"/>
    <w:rsid w:val="59434CE5"/>
    <w:rsid w:val="59724FAA"/>
    <w:rsid w:val="5AC32943"/>
    <w:rsid w:val="5ACF0F3A"/>
    <w:rsid w:val="5B910D3F"/>
    <w:rsid w:val="5BC27482"/>
    <w:rsid w:val="5C260433"/>
    <w:rsid w:val="5C353060"/>
    <w:rsid w:val="5C3E4F80"/>
    <w:rsid w:val="5C6B1600"/>
    <w:rsid w:val="5C921AD0"/>
    <w:rsid w:val="5C9B41C3"/>
    <w:rsid w:val="5CAB13C1"/>
    <w:rsid w:val="5CCC0667"/>
    <w:rsid w:val="5D0F4006"/>
    <w:rsid w:val="5DA665F1"/>
    <w:rsid w:val="5DFD51DB"/>
    <w:rsid w:val="5E0D36E5"/>
    <w:rsid w:val="5E107E6E"/>
    <w:rsid w:val="5E1F057A"/>
    <w:rsid w:val="5E32205B"/>
    <w:rsid w:val="5EE94C0E"/>
    <w:rsid w:val="5F8E64F1"/>
    <w:rsid w:val="5FB25365"/>
    <w:rsid w:val="603D7741"/>
    <w:rsid w:val="60595B07"/>
    <w:rsid w:val="607C3753"/>
    <w:rsid w:val="60C30855"/>
    <w:rsid w:val="61421EFD"/>
    <w:rsid w:val="615C5041"/>
    <w:rsid w:val="61A616EB"/>
    <w:rsid w:val="62B00965"/>
    <w:rsid w:val="62C87915"/>
    <w:rsid w:val="62DC23EB"/>
    <w:rsid w:val="63182FFE"/>
    <w:rsid w:val="63383084"/>
    <w:rsid w:val="639854D4"/>
    <w:rsid w:val="63C5603D"/>
    <w:rsid w:val="63D72C60"/>
    <w:rsid w:val="64E72AC4"/>
    <w:rsid w:val="65245052"/>
    <w:rsid w:val="664805B8"/>
    <w:rsid w:val="665A2A0A"/>
    <w:rsid w:val="666E489B"/>
    <w:rsid w:val="669A3AC9"/>
    <w:rsid w:val="66EA674F"/>
    <w:rsid w:val="68165453"/>
    <w:rsid w:val="68451BCA"/>
    <w:rsid w:val="684652BD"/>
    <w:rsid w:val="6864278A"/>
    <w:rsid w:val="68C96DCD"/>
    <w:rsid w:val="68EF72DA"/>
    <w:rsid w:val="690F418B"/>
    <w:rsid w:val="695606A3"/>
    <w:rsid w:val="69DC279E"/>
    <w:rsid w:val="6A363544"/>
    <w:rsid w:val="6A7A2736"/>
    <w:rsid w:val="6A7B4B9C"/>
    <w:rsid w:val="6B520D4E"/>
    <w:rsid w:val="6B9E1D81"/>
    <w:rsid w:val="6BA651DA"/>
    <w:rsid w:val="6C89456C"/>
    <w:rsid w:val="6C9D29A6"/>
    <w:rsid w:val="6D5F3DDE"/>
    <w:rsid w:val="6D9F3D11"/>
    <w:rsid w:val="6E0A1043"/>
    <w:rsid w:val="6EA03D2B"/>
    <w:rsid w:val="6F447A5A"/>
    <w:rsid w:val="6F5D0E2D"/>
    <w:rsid w:val="6FA629D4"/>
    <w:rsid w:val="70453CCB"/>
    <w:rsid w:val="70BB22E5"/>
    <w:rsid w:val="70BB2EF0"/>
    <w:rsid w:val="70D42489"/>
    <w:rsid w:val="70D46AC8"/>
    <w:rsid w:val="70EB0923"/>
    <w:rsid w:val="71343120"/>
    <w:rsid w:val="713B41ED"/>
    <w:rsid w:val="71597A3B"/>
    <w:rsid w:val="71E23BB9"/>
    <w:rsid w:val="727848D1"/>
    <w:rsid w:val="728F0221"/>
    <w:rsid w:val="72A71F44"/>
    <w:rsid w:val="72E50C43"/>
    <w:rsid w:val="731703A9"/>
    <w:rsid w:val="73B90A3E"/>
    <w:rsid w:val="73D425F7"/>
    <w:rsid w:val="750A2023"/>
    <w:rsid w:val="7526648A"/>
    <w:rsid w:val="75F644AF"/>
    <w:rsid w:val="7676736A"/>
    <w:rsid w:val="76933951"/>
    <w:rsid w:val="76B620C0"/>
    <w:rsid w:val="771D661B"/>
    <w:rsid w:val="782235EB"/>
    <w:rsid w:val="78782A0D"/>
    <w:rsid w:val="78EE1454"/>
    <w:rsid w:val="791D3D30"/>
    <w:rsid w:val="793D2063"/>
    <w:rsid w:val="7955351D"/>
    <w:rsid w:val="798F05F8"/>
    <w:rsid w:val="79A2171F"/>
    <w:rsid w:val="79A252FF"/>
    <w:rsid w:val="79A80381"/>
    <w:rsid w:val="79BE5B33"/>
    <w:rsid w:val="79D33056"/>
    <w:rsid w:val="7AC202F9"/>
    <w:rsid w:val="7AD42B4F"/>
    <w:rsid w:val="7B3E7526"/>
    <w:rsid w:val="7C1B5FFE"/>
    <w:rsid w:val="7C26369C"/>
    <w:rsid w:val="7C490025"/>
    <w:rsid w:val="7C706675"/>
    <w:rsid w:val="7C9E5A24"/>
    <w:rsid w:val="7CDA1775"/>
    <w:rsid w:val="7D1F0C75"/>
    <w:rsid w:val="7D37341E"/>
    <w:rsid w:val="7D62117D"/>
    <w:rsid w:val="7DCA1F7D"/>
    <w:rsid w:val="7E027CFB"/>
    <w:rsid w:val="7E3E1EF2"/>
    <w:rsid w:val="7E4827AD"/>
    <w:rsid w:val="7E686F3E"/>
    <w:rsid w:val="7E951513"/>
    <w:rsid w:val="7ED83BA2"/>
    <w:rsid w:val="7EF74FC9"/>
    <w:rsid w:val="7F933BD8"/>
    <w:rsid w:val="7FC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DA43EA7-8320-40B9-B500-B37B2F385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afterLines="50" w:after="20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YJ--"/>
    <w:qFormat/>
    <w:pPr>
      <w:keepNext/>
      <w:keepLines/>
      <w:numPr>
        <w:numId w:val="1"/>
      </w:numPr>
      <w:pBdr>
        <w:top w:val="single" w:sz="12" w:space="3" w:color="auto"/>
      </w:pBdr>
      <w:ind w:left="630"/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a"/>
    <w:next w:val="a"/>
    <w:qFormat/>
    <w:pP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YJ--">
    <w:name w:val="YJ--正文"/>
    <w:basedOn w:val="a"/>
    <w:qFormat/>
    <w:pPr>
      <w:spacing w:beforeLines="150" w:afterLines="100"/>
      <w:ind w:firstLineChars="200" w:firstLine="1440"/>
    </w:pPr>
    <w:rPr>
      <w:rFonts w:eastAsia="Times New Roman" w:cs="宋体"/>
    </w:rPr>
  </w:style>
  <w:style w:type="paragraph" w:styleId="a3">
    <w:name w:val="caption"/>
    <w:basedOn w:val="a"/>
    <w:next w:val="a"/>
    <w:uiPriority w:val="99"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Document Map"/>
    <w:basedOn w:val="a"/>
    <w:link w:val="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6">
    <w:name w:val="Body Text"/>
    <w:basedOn w:val="a"/>
    <w:unhideWhenUsed/>
    <w:qFormat/>
    <w:pPr>
      <w:widowControl w:val="0"/>
    </w:pPr>
    <w:rPr>
      <w:i/>
    </w:rPr>
  </w:style>
  <w:style w:type="paragraph" w:styleId="20">
    <w:name w:val="List 2"/>
    <w:basedOn w:val="a7"/>
    <w:qFormat/>
    <w:pPr>
      <w:ind w:left="851"/>
    </w:pPr>
  </w:style>
  <w:style w:type="paragraph" w:styleId="a7">
    <w:name w:val="List"/>
    <w:basedOn w:val="a"/>
    <w:qFormat/>
    <w:pPr>
      <w:ind w:left="568" w:hanging="284"/>
    </w:pPr>
  </w:style>
  <w:style w:type="paragraph" w:styleId="30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Char3"/>
    <w:semiHidden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pPr>
      <w:ind w:leftChars="200" w:left="862" w:hangingChars="200" w:hanging="442"/>
    </w:pPr>
    <w:rPr>
      <w:b/>
      <w:i/>
      <w:sz w:val="20"/>
    </w:r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  <w:jc w:val="left"/>
    </w:pPr>
    <w:rPr>
      <w:kern w:val="0"/>
      <w:sz w:val="24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qFormat/>
    <w:pPr>
      <w:spacing w:line="240" w:lineRule="auto"/>
      <w:jc w:val="both"/>
    </w:pPr>
    <w:rPr>
      <w:b/>
      <w:bCs/>
      <w:sz w:val="20"/>
    </w:rPr>
  </w:style>
  <w:style w:type="table" w:styleId="ae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semiHidden/>
    <w:qFormat/>
  </w:style>
  <w:style w:type="character" w:styleId="af0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References">
    <w:name w:val="References"/>
    <w:basedOn w:val="a"/>
    <w:qFormat/>
    <w:pPr>
      <w:numPr>
        <w:numId w:val="5"/>
      </w:numPr>
      <w:spacing w:after="60"/>
    </w:pPr>
    <w:rPr>
      <w:szCs w:val="16"/>
    </w:rPr>
  </w:style>
  <w:style w:type="paragraph" w:styleId="af2">
    <w:name w:val="List Paragraph"/>
    <w:basedOn w:val="a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="442"/>
      <w:jc w:val="left"/>
    </w:pPr>
  </w:style>
  <w:style w:type="paragraph" w:customStyle="1" w:styleId="22">
    <w:name w:val="样式2"/>
    <w:basedOn w:val="a"/>
    <w:qFormat/>
  </w:style>
  <w:style w:type="paragraph" w:customStyle="1" w:styleId="3rdlevelobservation">
    <w:name w:val="3rd level observation"/>
    <w:basedOn w:val="sub-observation"/>
    <w:qFormat/>
    <w:pPr>
      <w:numPr>
        <w:numId w:val="7"/>
      </w:numPr>
      <w:ind w:leftChars="400" w:left="1282" w:hanging="442"/>
    </w:pPr>
  </w:style>
  <w:style w:type="paragraph" w:customStyle="1" w:styleId="maintext">
    <w:name w:val="main text"/>
    <w:basedOn w:val="a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paragraph" w:customStyle="1" w:styleId="TH">
    <w:name w:val="TH"/>
    <w:basedOn w:val="a"/>
    <w:qFormat/>
    <w:pPr>
      <w:keepNext/>
      <w:keepLines/>
      <w:spacing w:beforeLines="0" w:afterLines="0"/>
      <w:jc w:val="center"/>
    </w:pPr>
    <w:rPr>
      <w:rFonts w:ascii="Arial" w:eastAsia="Times New Roman" w:hAnsi="Arial" w:cs="Arial"/>
      <w:b/>
      <w:bCs/>
      <w:kern w:val="0"/>
      <w:sz w:val="24"/>
      <w:szCs w:val="24"/>
      <w:lang w:val="zh-CN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spacing w:beforeLines="0" w:afterLines="0"/>
      <w:jc w:val="center"/>
    </w:pPr>
    <w:rPr>
      <w:rFonts w:eastAsia="Times New Roman" w:cs="Arial"/>
      <w:kern w:val="0"/>
      <w:szCs w:val="18"/>
      <w:lang w:val="zh-CN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Char3">
    <w:name w:val="页眉 Char"/>
    <w:basedOn w:val="a0"/>
    <w:link w:val="aa"/>
    <w:semiHidden/>
    <w:qFormat/>
    <w:rPr>
      <w:kern w:val="2"/>
      <w:sz w:val="21"/>
    </w:rPr>
  </w:style>
  <w:style w:type="character" w:customStyle="1" w:styleId="Char2">
    <w:name w:val="页脚 Char"/>
    <w:basedOn w:val="a0"/>
    <w:link w:val="a9"/>
    <w:uiPriority w:val="99"/>
    <w:qFormat/>
    <w:rPr>
      <w:kern w:val="2"/>
      <w:sz w:val="18"/>
      <w:szCs w:val="18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colour">
    <w:name w:val="colour"/>
    <w:basedOn w:val="a0"/>
    <w:qFormat/>
  </w:style>
  <w:style w:type="paragraph" w:customStyle="1" w:styleId="B1">
    <w:name w:val="B1"/>
    <w:basedOn w:val="a7"/>
    <w:qFormat/>
  </w:style>
  <w:style w:type="paragraph" w:customStyle="1" w:styleId="B2">
    <w:name w:val="B2"/>
    <w:basedOn w:val="20"/>
    <w:qFormat/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3GPPNormalText">
    <w:name w:val="3GPP Normal Text"/>
    <w:basedOn w:val="a6"/>
    <w:qFormat/>
    <w:rPr>
      <w:rFonts w:eastAsia="MS Mincho"/>
      <w:sz w:val="22"/>
    </w:rPr>
  </w:style>
  <w:style w:type="character" w:customStyle="1" w:styleId="Char1">
    <w:name w:val="批注框文本 Char"/>
    <w:basedOn w:val="a0"/>
    <w:link w:val="a8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4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5"/>
    <w:uiPriority w:val="99"/>
    <w:semiHidden/>
    <w:qFormat/>
    <w:rPr>
      <w:rFonts w:eastAsia="宋体"/>
      <w:kern w:val="2"/>
      <w:sz w:val="21"/>
    </w:rPr>
  </w:style>
  <w:style w:type="character" w:customStyle="1" w:styleId="Char4">
    <w:name w:val="批注主题 Char"/>
    <w:basedOn w:val="Char0"/>
    <w:link w:val="ad"/>
    <w:qFormat/>
    <w:rPr>
      <w:rFonts w:eastAsia="宋体"/>
      <w:kern w:val="2"/>
      <w:sz w:val="21"/>
    </w:rPr>
  </w:style>
  <w:style w:type="paragraph" w:customStyle="1" w:styleId="Proposal">
    <w:name w:val="Proposal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5437B0-9AE4-4B93-9E5D-746315001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780</Words>
  <Characters>4449</Characters>
  <Application>Microsoft Office Word</Application>
  <DocSecurity>0</DocSecurity>
  <Lines>37</Lines>
  <Paragraphs>10</Paragraphs>
  <ScaleCrop>false</ScaleCrop>
  <Company>ZTE</Company>
  <LinksUpToDate>false</LinksUpToDate>
  <CharactersWithSpaces>5219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xingweimin</cp:lastModifiedBy>
  <cp:revision>72</cp:revision>
  <dcterms:created xsi:type="dcterms:W3CDTF">2019-04-08T03:09:00Z</dcterms:created>
  <dcterms:modified xsi:type="dcterms:W3CDTF">2021-08-06T09:43:00Z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